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987" w:rsidRDefault="00F50987">
      <w:bookmarkStart w:id="0" w:name="_GoBack"/>
      <w:bookmarkEnd w:id="0"/>
    </w:p>
    <w:p w:rsidR="00F50987" w:rsidRDefault="00F50987"/>
    <w:p w:rsidR="00F50987" w:rsidRDefault="00F50987">
      <w:pPr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F50987" w:rsidRDefault="00772F2B">
      <w:pPr>
        <w:jc w:val="center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目录</w:t>
      </w:r>
    </w:p>
    <w:p w:rsidR="00F50987" w:rsidRDefault="00F50987">
      <w:pPr>
        <w:rPr>
          <w:rFonts w:asciiTheme="minorEastAsia" w:eastAsiaTheme="minorEastAsia" w:hAnsiTheme="minorEastAsia"/>
          <w:sz w:val="28"/>
        </w:rPr>
      </w:pPr>
    </w:p>
    <w:p w:rsidR="00F50987" w:rsidRDefault="00772F2B">
      <w:pPr>
        <w:ind w:firstLineChars="152" w:firstLine="426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一、概述</w:t>
      </w:r>
    </w:p>
    <w:p w:rsidR="00F50987" w:rsidRDefault="00772F2B">
      <w:pPr>
        <w:ind w:firstLineChars="152" w:firstLine="426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</w:rPr>
        <w:t>二、技术参数</w:t>
      </w:r>
    </w:p>
    <w:p w:rsidR="00F50987" w:rsidRDefault="00772F2B">
      <w:pPr>
        <w:ind w:firstLineChars="152" w:firstLine="426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</w:rPr>
        <w:t>三、显示内容</w:t>
      </w:r>
    </w:p>
    <w:p w:rsidR="00F50987" w:rsidRDefault="00772F2B">
      <w:pPr>
        <w:ind w:firstLineChars="152" w:firstLine="426"/>
        <w:rPr>
          <w:rFonts w:asciiTheme="minorEastAsia" w:eastAsiaTheme="minorEastAsia" w:hAnsiTheme="minorEastAsia" w:cs="宋体"/>
          <w:kern w:val="0"/>
          <w:sz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</w:rPr>
        <w:t>四、外形参数</w:t>
      </w:r>
    </w:p>
    <w:p w:rsidR="00F50987" w:rsidRDefault="00772F2B">
      <w:pPr>
        <w:ind w:firstLineChars="152" w:firstLine="426"/>
        <w:rPr>
          <w:rFonts w:asciiTheme="minorEastAsia" w:eastAsiaTheme="minorEastAsia" w:hAnsiTheme="minorEastAsia" w:cs="宋体"/>
          <w:kern w:val="0"/>
          <w:sz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</w:rPr>
        <w:t>五、安装示意图</w:t>
      </w:r>
    </w:p>
    <w:p w:rsidR="00F50987" w:rsidRDefault="00772F2B">
      <w:pPr>
        <w:ind w:firstLineChars="152" w:firstLine="426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</w:rPr>
        <w:t>六、安装要求</w:t>
      </w:r>
    </w:p>
    <w:p w:rsidR="00F50987" w:rsidRDefault="00772F2B">
      <w:pPr>
        <w:ind w:firstLineChars="152" w:firstLine="426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</w:rPr>
        <w:t>七、日常维护</w:t>
      </w:r>
    </w:p>
    <w:p w:rsidR="00F50987" w:rsidRDefault="00772F2B">
      <w:pPr>
        <w:ind w:firstLineChars="152" w:firstLine="426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</w:rPr>
        <w:t>八、运输与贮存</w:t>
      </w:r>
    </w:p>
    <w:p w:rsidR="00F50987" w:rsidRDefault="00772F2B">
      <w:pPr>
        <w:ind w:firstLineChars="152" w:firstLine="426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</w:rPr>
        <w:t>九、保修条款</w:t>
      </w: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772F2B">
      <w:pPr>
        <w:widowControl/>
        <w:ind w:leftChars="1" w:left="249" w:hangingChars="117" w:hanging="247"/>
        <w:jc w:val="left"/>
        <w:rPr>
          <w:rFonts w:asciiTheme="minorEastAsia" w:hAnsiTheme="minorEastAsia" w:cs="宋体"/>
          <w:b/>
          <w:kern w:val="0"/>
          <w:szCs w:val="21"/>
        </w:rPr>
      </w:pPr>
      <w:r>
        <w:rPr>
          <w:rFonts w:asciiTheme="minorEastAsia" w:hAnsiTheme="minorEastAsia" w:cs="宋体" w:hint="eastAsia"/>
          <w:b/>
          <w:kern w:val="0"/>
          <w:szCs w:val="21"/>
        </w:rPr>
        <w:lastRenderedPageBreak/>
        <w:t>七、日常维护</w:t>
      </w:r>
    </w:p>
    <w:p w:rsidR="00F50987" w:rsidRDefault="00772F2B">
      <w:pPr>
        <w:widowControl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、热量表安装使用后，应定期巡回检查热量表的运行状况和电池电压是否正常；</w:t>
      </w:r>
    </w:p>
    <w:p w:rsidR="00F50987" w:rsidRDefault="00772F2B">
      <w:pPr>
        <w:widowControl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、当流量明显减少影响供暖时，应进行过滤器的排污及清理；</w:t>
      </w:r>
    </w:p>
    <w:p w:rsidR="00F50987" w:rsidRDefault="00772F2B">
      <w:pPr>
        <w:widowControl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>
        <w:rPr>
          <w:rFonts w:ascii="宋体" w:hAnsi="宋体" w:cs="宋体" w:hint="eastAsia"/>
          <w:kern w:val="0"/>
          <w:sz w:val="24"/>
        </w:rPr>
        <w:t>、热量表运行时间达到</w:t>
      </w:r>
      <w:r>
        <w:rPr>
          <w:rFonts w:ascii="宋体" w:hAnsi="宋体" w:cs="宋体" w:hint="eastAsia"/>
          <w:kern w:val="0"/>
          <w:sz w:val="24"/>
        </w:rPr>
        <w:t>6</w:t>
      </w:r>
      <w:r>
        <w:rPr>
          <w:rFonts w:ascii="宋体" w:hAnsi="宋体" w:cs="宋体" w:hint="eastAsia"/>
          <w:kern w:val="0"/>
          <w:sz w:val="24"/>
        </w:rPr>
        <w:t>年（</w:t>
      </w: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个检定周期）或虽不到</w:t>
      </w:r>
      <w:r>
        <w:rPr>
          <w:rFonts w:ascii="宋体" w:hAnsi="宋体" w:cs="宋体" w:hint="eastAsia"/>
          <w:kern w:val="0"/>
          <w:sz w:val="24"/>
        </w:rPr>
        <w:t>6</w:t>
      </w:r>
      <w:r>
        <w:rPr>
          <w:rFonts w:ascii="宋体" w:hAnsi="宋体" w:cs="宋体" w:hint="eastAsia"/>
          <w:kern w:val="0"/>
          <w:sz w:val="24"/>
        </w:rPr>
        <w:t>年但显示屏显示数据不清晰或电压显示“</w:t>
      </w:r>
      <w:r>
        <w:rPr>
          <w:rFonts w:ascii="宋体" w:hAnsi="宋体" w:cs="宋体" w:hint="eastAsia"/>
          <w:kern w:val="0"/>
          <w:sz w:val="24"/>
        </w:rPr>
        <w:t>V</w:t>
      </w:r>
      <w:r>
        <w:rPr>
          <w:rFonts w:ascii="宋体" w:hAnsi="宋体" w:cs="宋体" w:hint="eastAsia"/>
          <w:kern w:val="0"/>
          <w:sz w:val="24"/>
        </w:rPr>
        <w:t>”时，即应由专门技术人员更换电池，以免影响热量表的正常工作；</w:t>
      </w:r>
    </w:p>
    <w:p w:rsidR="00F50987" w:rsidRDefault="00772F2B">
      <w:pPr>
        <w:widowControl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>
        <w:rPr>
          <w:rFonts w:ascii="宋体" w:hAnsi="宋体" w:cs="宋体" w:hint="eastAsia"/>
          <w:kern w:val="0"/>
          <w:sz w:val="24"/>
        </w:rPr>
        <w:t>、当信号状态</w:t>
      </w:r>
      <w:r>
        <w:rPr>
          <w:rFonts w:ascii="宋体" w:hAnsi="宋体" w:cs="宋体" w:hint="eastAsia"/>
          <w:kern w:val="0"/>
          <w:sz w:val="24"/>
        </w:rPr>
        <w:t>(</w:t>
      </w:r>
      <w:r>
        <w:rPr>
          <w:rFonts w:ascii="宋体" w:hAnsi="宋体" w:cs="宋体" w:hint="eastAsia"/>
          <w:kern w:val="0"/>
          <w:sz w:val="24"/>
        </w:rPr>
        <w:t>显示查询状态第</w:t>
      </w:r>
      <w:r>
        <w:rPr>
          <w:rFonts w:ascii="宋体" w:hAnsi="宋体" w:cs="宋体" w:hint="eastAsia"/>
          <w:kern w:val="0"/>
          <w:sz w:val="24"/>
        </w:rPr>
        <w:t>12</w:t>
      </w:r>
      <w:r>
        <w:rPr>
          <w:rFonts w:ascii="宋体" w:hAnsi="宋体" w:cs="宋体" w:hint="eastAsia"/>
          <w:kern w:val="0"/>
          <w:sz w:val="24"/>
        </w:rPr>
        <w:t>屏</w:t>
      </w:r>
      <w:r>
        <w:rPr>
          <w:rFonts w:ascii="宋体" w:hAnsi="宋体" w:cs="宋体" w:hint="eastAsia"/>
          <w:kern w:val="0"/>
          <w:sz w:val="24"/>
        </w:rPr>
        <w:t>)</w:t>
      </w:r>
      <w:r>
        <w:rPr>
          <w:rFonts w:ascii="宋体" w:hAnsi="宋体" w:cs="宋体" w:hint="eastAsia"/>
          <w:kern w:val="0"/>
          <w:sz w:val="24"/>
        </w:rPr>
        <w:t>显示“</w:t>
      </w:r>
      <w:r>
        <w:rPr>
          <w:rFonts w:ascii="宋体" w:hAnsi="宋体" w:cs="宋体" w:hint="eastAsia"/>
          <w:kern w:val="0"/>
          <w:sz w:val="24"/>
        </w:rPr>
        <w:t>d0000408</w:t>
      </w:r>
      <w:r>
        <w:rPr>
          <w:rFonts w:ascii="宋体" w:hAnsi="宋体" w:cs="宋体" w:hint="eastAsia"/>
          <w:kern w:val="0"/>
          <w:sz w:val="24"/>
        </w:rPr>
        <w:t>”</w:t>
      </w:r>
      <w:r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表示流量采集异常或非满管，显示“</w:t>
      </w:r>
      <w:r>
        <w:rPr>
          <w:rFonts w:ascii="宋体" w:hAnsi="宋体" w:cs="宋体" w:hint="eastAsia"/>
          <w:kern w:val="0"/>
          <w:sz w:val="24"/>
        </w:rPr>
        <w:t>d0000814</w:t>
      </w:r>
      <w:r>
        <w:rPr>
          <w:rFonts w:ascii="宋体" w:hAnsi="宋体" w:cs="宋体" w:hint="eastAsia"/>
          <w:kern w:val="0"/>
          <w:sz w:val="24"/>
        </w:rPr>
        <w:t>”表示温度采集异常。</w:t>
      </w:r>
    </w:p>
    <w:p w:rsidR="00F50987" w:rsidRDefault="00772F2B">
      <w:pPr>
        <w:widowControl/>
        <w:ind w:leftChars="1" w:left="249" w:hangingChars="117" w:hanging="247"/>
        <w:jc w:val="left"/>
        <w:rPr>
          <w:rFonts w:asciiTheme="minorEastAsia" w:hAnsiTheme="minorEastAsia" w:cs="宋体"/>
          <w:b/>
          <w:kern w:val="0"/>
          <w:szCs w:val="21"/>
        </w:rPr>
      </w:pPr>
      <w:r>
        <w:rPr>
          <w:rFonts w:asciiTheme="minorEastAsia" w:hAnsiTheme="minorEastAsia" w:cs="宋体" w:hint="eastAsia"/>
          <w:b/>
          <w:kern w:val="0"/>
          <w:szCs w:val="21"/>
        </w:rPr>
        <w:t>八、运输与贮存</w:t>
      </w:r>
    </w:p>
    <w:p w:rsidR="00F50987" w:rsidRDefault="00772F2B">
      <w:pPr>
        <w:widowControl/>
        <w:ind w:firstLineChars="177" w:firstLine="42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、运输：热量在运输时不应按标志放置，不得受雨、霜、雾直接影响，，并不应受挤压、撞击等损伤。运输的环境条件按</w:t>
      </w:r>
      <w:r>
        <w:rPr>
          <w:rFonts w:ascii="宋体" w:hAnsi="宋体" w:cs="宋体" w:hint="eastAsia"/>
          <w:kern w:val="0"/>
          <w:sz w:val="24"/>
        </w:rPr>
        <w:t>JB/T9329</w:t>
      </w:r>
      <w:r>
        <w:rPr>
          <w:rFonts w:ascii="宋体" w:hAnsi="宋体" w:cs="宋体" w:hint="eastAsia"/>
          <w:kern w:val="0"/>
          <w:sz w:val="24"/>
        </w:rPr>
        <w:t>标准的规定执行；</w:t>
      </w:r>
    </w:p>
    <w:p w:rsidR="00F50987" w:rsidRDefault="00772F2B">
      <w:pPr>
        <w:ind w:firstLineChars="177" w:firstLine="425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、贮存：产品垫离地面至少</w:t>
      </w:r>
      <w:r>
        <w:rPr>
          <w:rFonts w:ascii="宋体" w:hAnsi="宋体" w:cs="宋体" w:hint="eastAsia"/>
          <w:kern w:val="0"/>
          <w:sz w:val="24"/>
        </w:rPr>
        <w:t>0.3m</w:t>
      </w:r>
      <w:r>
        <w:rPr>
          <w:rFonts w:ascii="宋体" w:hAnsi="宋体" w:cs="宋体" w:hint="eastAsia"/>
          <w:kern w:val="0"/>
          <w:sz w:val="24"/>
        </w:rPr>
        <w:t>，距离四壁不应少于</w:t>
      </w:r>
      <w:r>
        <w:rPr>
          <w:rFonts w:ascii="宋体" w:hAnsi="宋体" w:cs="宋体" w:hint="eastAsia"/>
          <w:kern w:val="0"/>
          <w:sz w:val="24"/>
        </w:rPr>
        <w:t>lm</w:t>
      </w:r>
      <w:r>
        <w:rPr>
          <w:rFonts w:ascii="宋体" w:hAnsi="宋体" w:cs="宋体" w:hint="eastAsia"/>
          <w:kern w:val="0"/>
          <w:sz w:val="24"/>
        </w:rPr>
        <w:t>，距离采暖设备不应少于</w:t>
      </w:r>
      <w:r>
        <w:rPr>
          <w:rFonts w:ascii="宋体" w:hAnsi="宋体" w:cs="宋体" w:hint="eastAsia"/>
          <w:kern w:val="0"/>
          <w:sz w:val="24"/>
        </w:rPr>
        <w:t>2m</w:t>
      </w:r>
      <w:r>
        <w:rPr>
          <w:rFonts w:ascii="宋体" w:hAnsi="宋体" w:cs="宋体" w:hint="eastAsia"/>
          <w:kern w:val="0"/>
          <w:sz w:val="24"/>
        </w:rPr>
        <w:t>。环境温度</w:t>
      </w:r>
      <w:r>
        <w:rPr>
          <w:rFonts w:ascii="宋体" w:hAnsi="宋体" w:cs="宋体" w:hint="eastAsia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℃～</w:t>
      </w:r>
      <w:r>
        <w:rPr>
          <w:rFonts w:ascii="宋体" w:hAnsi="宋体" w:cs="宋体" w:hint="eastAsia"/>
          <w:kern w:val="0"/>
          <w:sz w:val="24"/>
        </w:rPr>
        <w:t>55</w:t>
      </w:r>
      <w:r>
        <w:rPr>
          <w:rFonts w:ascii="宋体" w:hAnsi="宋体" w:cs="宋体" w:hint="eastAsia"/>
          <w:kern w:val="0"/>
          <w:sz w:val="24"/>
        </w:rPr>
        <w:t>℃，相对湿度＜</w:t>
      </w:r>
      <w:r>
        <w:rPr>
          <w:rFonts w:ascii="宋体" w:hAnsi="宋体" w:cs="宋体" w:hint="eastAsia"/>
          <w:kern w:val="0"/>
          <w:sz w:val="24"/>
        </w:rPr>
        <w:t>80%</w:t>
      </w:r>
      <w:r>
        <w:rPr>
          <w:rFonts w:ascii="宋体" w:hAnsi="宋体" w:cs="宋体" w:hint="eastAsia"/>
          <w:kern w:val="0"/>
          <w:sz w:val="24"/>
        </w:rPr>
        <w:t>。仓库内应无酸、碱、易燃、易爆、有毒及腐蚀性等物品，应防止强烈电磁场作用和阳光直射。</w:t>
      </w:r>
    </w:p>
    <w:p w:rsidR="00F50987" w:rsidRDefault="00772F2B">
      <w:pPr>
        <w:widowControl/>
        <w:ind w:leftChars="1" w:left="249" w:hangingChars="117" w:hanging="247"/>
        <w:jc w:val="left"/>
        <w:rPr>
          <w:rFonts w:asciiTheme="minorEastAsia" w:hAnsiTheme="minorEastAsia" w:cs="宋体"/>
          <w:b/>
          <w:kern w:val="0"/>
          <w:szCs w:val="21"/>
        </w:rPr>
      </w:pPr>
      <w:r>
        <w:rPr>
          <w:rFonts w:asciiTheme="minorEastAsia" w:hAnsiTheme="minorEastAsia" w:cs="宋体" w:hint="eastAsia"/>
          <w:b/>
          <w:kern w:val="0"/>
          <w:szCs w:val="21"/>
        </w:rPr>
        <w:t>九、保修条款</w:t>
      </w:r>
    </w:p>
    <w:p w:rsidR="00F50987" w:rsidRDefault="00772F2B">
      <w:pPr>
        <w:widowControl/>
        <w:ind w:firstLineChars="217" w:firstLine="52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热量表自发货之日起整机一年内免费保修，终身维护</w:t>
      </w:r>
      <w:r>
        <w:rPr>
          <w:rFonts w:ascii="宋体" w:hAnsi="宋体" w:cs="宋体" w:hint="eastAsia"/>
          <w:kern w:val="0"/>
          <w:sz w:val="24"/>
        </w:rPr>
        <w:t>,</w:t>
      </w:r>
      <w:r>
        <w:rPr>
          <w:rFonts w:ascii="宋体" w:hAnsi="宋体" w:cs="宋体" w:hint="eastAsia"/>
          <w:kern w:val="0"/>
          <w:sz w:val="24"/>
        </w:rPr>
        <w:t>但下列情况导致的损坏则不予保修：</w:t>
      </w:r>
    </w:p>
    <w:p w:rsidR="00F50987" w:rsidRDefault="00772F2B">
      <w:pPr>
        <w:widowControl/>
        <w:ind w:leftChars="135" w:left="283" w:firstLine="284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热量表的各部件封印标志被开启、破坏；</w:t>
      </w:r>
    </w:p>
    <w:p w:rsidR="00F50987" w:rsidRDefault="00772F2B">
      <w:pPr>
        <w:widowControl/>
        <w:ind w:leftChars="135" w:left="283" w:firstLine="284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、热量表的各部件被人为破坏；</w:t>
      </w:r>
    </w:p>
    <w:p w:rsidR="00F50987" w:rsidRDefault="00772F2B">
      <w:pPr>
        <w:widowControl/>
        <w:ind w:leftChars="135" w:left="283" w:firstLine="284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>
        <w:rPr>
          <w:rFonts w:ascii="宋体" w:hAnsi="宋体" w:cs="宋体" w:hint="eastAsia"/>
          <w:kern w:val="0"/>
          <w:sz w:val="24"/>
        </w:rPr>
        <w:t>、热量表的各部件遭受曝晒、水淹、冰冻和化学污染；</w:t>
      </w:r>
    </w:p>
    <w:p w:rsidR="00F50987" w:rsidRDefault="00772F2B">
      <w:pPr>
        <w:widowControl/>
        <w:ind w:firstLine="567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</w:t>
      </w:r>
      <w:r>
        <w:rPr>
          <w:rFonts w:ascii="宋体" w:hAnsi="宋体" w:cs="宋体" w:hint="eastAsia"/>
          <w:kern w:val="0"/>
          <w:sz w:val="24"/>
        </w:rPr>
        <w:t>、安装前未清理管道或管道内杂质过多，导致流量计损坏；</w:t>
      </w:r>
    </w:p>
    <w:p w:rsidR="00F50987" w:rsidRDefault="00772F2B">
      <w:pPr>
        <w:widowControl/>
        <w:ind w:firstLine="567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、温度传感器引线被扯断，或显示器过度转动导致流量传感器引线扯断；</w:t>
      </w:r>
    </w:p>
    <w:p w:rsidR="00F50987" w:rsidRDefault="00772F2B">
      <w:pPr>
        <w:widowControl/>
        <w:ind w:leftChars="135" w:left="283" w:firstLineChars="118" w:firstLine="283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6</w:t>
      </w:r>
      <w:r>
        <w:rPr>
          <w:rFonts w:ascii="宋体" w:hAnsi="宋体" w:cs="宋体" w:hint="eastAsia"/>
          <w:kern w:val="0"/>
          <w:sz w:val="24"/>
        </w:rPr>
        <w:t>、因未选用适合的产品型号而造成的故障和损害。</w:t>
      </w:r>
    </w:p>
    <w:p w:rsidR="00F50987" w:rsidRDefault="00772F2B">
      <w:pPr>
        <w:widowControl/>
        <w:ind w:firstLineChars="117" w:firstLine="282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注</w:t>
      </w:r>
      <w:r>
        <w:rPr>
          <w:rFonts w:ascii="宋体" w:hAnsi="宋体" w:cs="宋体" w:hint="eastAsia"/>
          <w:kern w:val="0"/>
          <w:sz w:val="24"/>
        </w:rPr>
        <w:t>：热量表电池应由专人更换，用户不得自行更换。如出现欠压情况可与厂家直接联系。</w:t>
      </w:r>
    </w:p>
    <w:p w:rsidR="00F50987" w:rsidRDefault="00F50987">
      <w:pPr>
        <w:widowControl/>
        <w:ind w:firstLineChars="117" w:firstLine="281"/>
        <w:jc w:val="left"/>
        <w:rPr>
          <w:rFonts w:ascii="宋体" w:hAnsi="宋体" w:cs="宋体"/>
          <w:kern w:val="0"/>
          <w:sz w:val="24"/>
        </w:rPr>
      </w:pPr>
    </w:p>
    <w:p w:rsidR="00F50987" w:rsidRDefault="00F50987">
      <w:pPr>
        <w:widowControl/>
        <w:ind w:firstLineChars="117" w:firstLine="281"/>
        <w:jc w:val="left"/>
        <w:rPr>
          <w:rFonts w:ascii="宋体" w:hAnsi="宋体" w:cs="宋体"/>
          <w:kern w:val="0"/>
          <w:sz w:val="24"/>
        </w:rPr>
      </w:pPr>
    </w:p>
    <w:p w:rsidR="00F50987" w:rsidRDefault="00F50987">
      <w:pPr>
        <w:widowControl/>
        <w:jc w:val="left"/>
        <w:rPr>
          <w:rFonts w:ascii="宋体" w:hAnsi="宋体" w:cs="宋体"/>
          <w:kern w:val="0"/>
          <w:sz w:val="24"/>
        </w:rPr>
        <w:sectPr w:rsidR="00F50987">
          <w:footerReference w:type="default" r:id="rId8"/>
          <w:pgSz w:w="16839" w:h="11907" w:orient="landscape"/>
          <w:pgMar w:top="737" w:right="567" w:bottom="737" w:left="567" w:header="397" w:footer="397" w:gutter="0"/>
          <w:pgNumType w:start="1"/>
          <w:cols w:num="2" w:space="840"/>
          <w:docGrid w:type="lines" w:linePitch="312"/>
        </w:sectPr>
      </w:pPr>
    </w:p>
    <w:p w:rsidR="00F50987" w:rsidRDefault="00F50987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F50987" w:rsidRDefault="00772F2B">
      <w:pPr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常见正确与错误安装方式图</w:t>
      </w:r>
    </w:p>
    <w:p w:rsidR="00F50987" w:rsidRDefault="00772F2B">
      <w:pPr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宋体" w:hAnsi="宋体" w:cs="宋体"/>
          <w:noProof/>
          <w:kern w:val="0"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29210</wp:posOffset>
            </wp:positionV>
            <wp:extent cx="3616325" cy="2003425"/>
            <wp:effectExtent l="0" t="0" r="381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65" t="20496" r="3122" b="17257"/>
                    <a:stretch>
                      <a:fillRect/>
                    </a:stretch>
                  </pic:blipFill>
                  <pic:spPr>
                    <a:xfrm>
                      <a:off x="0" y="0"/>
                      <a:ext cx="3616338" cy="20036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0987" w:rsidRDefault="00F50987">
      <w:pPr>
        <w:jc w:val="left"/>
        <w:rPr>
          <w:rFonts w:ascii="宋体" w:hAnsi="宋体" w:cs="宋体"/>
          <w:kern w:val="0"/>
          <w:sz w:val="18"/>
          <w:szCs w:val="18"/>
        </w:rPr>
      </w:pPr>
    </w:p>
    <w:p w:rsidR="00F50987" w:rsidRDefault="00F50987">
      <w:pPr>
        <w:jc w:val="left"/>
        <w:rPr>
          <w:rFonts w:ascii="宋体" w:hAnsi="宋体" w:cs="宋体"/>
          <w:kern w:val="0"/>
          <w:sz w:val="18"/>
          <w:szCs w:val="18"/>
        </w:rPr>
      </w:pP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772F2B">
      <w:pPr>
        <w:widowControl/>
        <w:jc w:val="left"/>
        <w:rPr>
          <w:rFonts w:asciiTheme="minorEastAsia" w:hAnsiTheme="minorEastAsia" w:cs="宋体"/>
          <w:b/>
          <w:kern w:val="0"/>
          <w:sz w:val="24"/>
        </w:rPr>
      </w:pPr>
      <w:r>
        <w:rPr>
          <w:rFonts w:asciiTheme="minorEastAsia" w:hAnsiTheme="minorEastAsia" w:cs="宋体" w:hint="eastAsia"/>
          <w:b/>
          <w:kern w:val="0"/>
          <w:sz w:val="24"/>
        </w:rPr>
        <w:t>六、安装要求</w:t>
      </w:r>
    </w:p>
    <w:p w:rsidR="00F50987" w:rsidRDefault="00772F2B">
      <w:pPr>
        <w:widowControl/>
        <w:ind w:firstLineChars="177" w:firstLine="42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热量表的所有部件（包括流量计，温度传感器和计算器）安装位置应避免曝晒、水淹、冰冻、化学和电磁污染，并方便拆装和抄表。</w:t>
      </w:r>
    </w:p>
    <w:p w:rsidR="00F50987" w:rsidRDefault="00772F2B">
      <w:pPr>
        <w:widowControl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、流量传感器的安装</w:t>
      </w:r>
    </w:p>
    <w:p w:rsidR="00F50987" w:rsidRDefault="00772F2B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1)</w:t>
      </w:r>
      <w:r>
        <w:rPr>
          <w:rFonts w:ascii="宋体" w:hAnsi="宋体" w:cs="宋体" w:hint="eastAsia"/>
          <w:kern w:val="0"/>
          <w:sz w:val="24"/>
        </w:rPr>
        <w:t>安装前应彻底清洗系统管路，清除支管内的麻丝、砂石等杂物，以免造成流量计故障；</w:t>
      </w:r>
    </w:p>
    <w:p w:rsidR="00F50987" w:rsidRDefault="00772F2B">
      <w:pPr>
        <w:widowControl/>
        <w:ind w:leftChars="135" w:left="283"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2)</w:t>
      </w:r>
      <w:r>
        <w:rPr>
          <w:rFonts w:ascii="宋体" w:hAnsi="宋体" w:cs="宋体" w:hint="eastAsia"/>
          <w:kern w:val="0"/>
          <w:sz w:val="24"/>
        </w:rPr>
        <w:t>流量计水平或垂直于管道安装；</w:t>
      </w:r>
    </w:p>
    <w:p w:rsidR="00F50987" w:rsidRDefault="00772F2B">
      <w:pPr>
        <w:widowControl/>
        <w:ind w:leftChars="135" w:left="283"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3)</w:t>
      </w:r>
      <w:r>
        <w:rPr>
          <w:rFonts w:ascii="宋体" w:hAnsi="宋体" w:cs="宋体" w:hint="eastAsia"/>
          <w:kern w:val="0"/>
          <w:sz w:val="24"/>
        </w:rPr>
        <w:t>水流方向应与流量计上的箭头标示相一致；</w:t>
      </w:r>
    </w:p>
    <w:p w:rsidR="00F50987" w:rsidRDefault="00772F2B">
      <w:pPr>
        <w:widowControl/>
        <w:ind w:leftChars="135" w:left="283"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4)</w:t>
      </w:r>
      <w:r>
        <w:rPr>
          <w:rFonts w:ascii="宋体" w:hAnsi="宋体" w:cs="宋体" w:hint="eastAsia"/>
          <w:kern w:val="0"/>
          <w:sz w:val="24"/>
        </w:rPr>
        <w:t>前后管道直径要与流量计口径相符；</w:t>
      </w:r>
    </w:p>
    <w:p w:rsidR="00F50987" w:rsidRDefault="00772F2B">
      <w:pPr>
        <w:widowControl/>
        <w:ind w:firstLineChars="217" w:firstLine="52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5)</w:t>
      </w:r>
      <w:r>
        <w:rPr>
          <w:rFonts w:ascii="宋体" w:hAnsi="宋体" w:cs="宋体" w:hint="eastAsia"/>
          <w:kern w:val="0"/>
          <w:sz w:val="24"/>
        </w:rPr>
        <w:t>表前应留</w:t>
      </w:r>
      <w:r>
        <w:rPr>
          <w:rFonts w:ascii="宋体" w:hAnsi="宋体" w:cs="宋体" w:hint="eastAsia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倍</w:t>
      </w:r>
      <w:r>
        <w:rPr>
          <w:rFonts w:ascii="宋体" w:hAnsi="宋体" w:cs="宋体" w:hint="eastAsia"/>
          <w:kern w:val="0"/>
          <w:sz w:val="24"/>
        </w:rPr>
        <w:t>DN</w:t>
      </w:r>
      <w:r>
        <w:rPr>
          <w:rFonts w:ascii="宋体" w:hAnsi="宋体" w:cs="宋体" w:hint="eastAsia"/>
          <w:kern w:val="0"/>
          <w:sz w:val="24"/>
        </w:rPr>
        <w:t>、表后应留</w:t>
      </w:r>
      <w:r>
        <w:rPr>
          <w:rFonts w:ascii="宋体" w:hAnsi="宋体" w:cs="宋体" w:hint="eastAsia"/>
          <w:kern w:val="0"/>
          <w:sz w:val="24"/>
        </w:rPr>
        <w:t>3</w:t>
      </w:r>
      <w:r>
        <w:rPr>
          <w:rFonts w:ascii="宋体" w:hAnsi="宋体" w:cs="宋体" w:hint="eastAsia"/>
          <w:kern w:val="0"/>
          <w:sz w:val="24"/>
        </w:rPr>
        <w:t>倍</w:t>
      </w:r>
      <w:r>
        <w:rPr>
          <w:rFonts w:ascii="宋体" w:hAnsi="宋体" w:cs="宋体" w:hint="eastAsia"/>
          <w:kern w:val="0"/>
          <w:sz w:val="24"/>
        </w:rPr>
        <w:t>DN</w:t>
      </w:r>
      <w:r>
        <w:rPr>
          <w:rFonts w:ascii="宋体" w:hAnsi="宋体" w:cs="宋体" w:hint="eastAsia"/>
          <w:kern w:val="0"/>
          <w:sz w:val="24"/>
        </w:rPr>
        <w:t>的直管段（</w:t>
      </w:r>
      <w:r>
        <w:rPr>
          <w:rFonts w:ascii="宋体" w:hAnsi="宋体" w:cs="宋体" w:hint="eastAsia"/>
          <w:kern w:val="0"/>
          <w:sz w:val="24"/>
        </w:rPr>
        <w:t>DN</w:t>
      </w:r>
      <w:r>
        <w:rPr>
          <w:rFonts w:ascii="宋体" w:hAnsi="宋体" w:cs="宋体" w:hint="eastAsia"/>
          <w:kern w:val="0"/>
          <w:sz w:val="24"/>
        </w:rPr>
        <w:t>为热量表的公称直径）；</w:t>
      </w:r>
    </w:p>
    <w:p w:rsidR="00F50987" w:rsidRDefault="00772F2B">
      <w:pPr>
        <w:widowControl/>
        <w:ind w:leftChars="135" w:left="283"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6)</w:t>
      </w:r>
      <w:r>
        <w:rPr>
          <w:rFonts w:ascii="宋体" w:hAnsi="宋体" w:cs="宋体" w:hint="eastAsia"/>
          <w:kern w:val="0"/>
          <w:sz w:val="24"/>
        </w:rPr>
        <w:t>建议安装在进水管道；</w:t>
      </w:r>
    </w:p>
    <w:p w:rsidR="00F50987" w:rsidRDefault="00772F2B">
      <w:pPr>
        <w:widowControl/>
        <w:ind w:firstLineChars="217" w:firstLine="52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7)</w:t>
      </w:r>
      <w:r>
        <w:rPr>
          <w:rFonts w:ascii="宋体" w:hAnsi="宋体" w:cs="宋体" w:hint="eastAsia"/>
          <w:kern w:val="0"/>
          <w:sz w:val="24"/>
        </w:rPr>
        <w:t>安装完毕，应在连接螺母与热量表之间、测温球阀与温度传感器之间打铅封。</w:t>
      </w:r>
    </w:p>
    <w:p w:rsidR="00F50987" w:rsidRDefault="00772F2B">
      <w:pPr>
        <w:widowControl/>
        <w:ind w:leftChars="135" w:left="283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、温度传感器的安装</w:t>
      </w:r>
    </w:p>
    <w:p w:rsidR="00F50987" w:rsidRDefault="00772F2B">
      <w:pPr>
        <w:widowControl/>
        <w:ind w:firstLineChars="217" w:firstLine="52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1)</w:t>
      </w:r>
      <w:r>
        <w:rPr>
          <w:rFonts w:ascii="宋体" w:hAnsi="宋体" w:cs="宋体" w:hint="eastAsia"/>
          <w:kern w:val="0"/>
          <w:sz w:val="24"/>
        </w:rPr>
        <w:t>带有红色标签的温度传感器应安装在进水管上，必须安装在表体或专用的测温球阀、测温三通、测温座上；</w:t>
      </w:r>
    </w:p>
    <w:p w:rsidR="00F50987" w:rsidRDefault="00772F2B">
      <w:pPr>
        <w:widowControl/>
        <w:ind w:firstLineChars="236" w:firstLine="566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2)</w:t>
      </w:r>
      <w:r>
        <w:rPr>
          <w:rFonts w:ascii="宋体" w:hAnsi="宋体" w:cs="宋体" w:hint="eastAsia"/>
          <w:kern w:val="0"/>
          <w:sz w:val="24"/>
        </w:rPr>
        <w:t>带有蓝色标签的温度传感器应安装在回水管上，必须安装在表体或专用的测温球阀、测温三通、测温座上；</w:t>
      </w:r>
    </w:p>
    <w:p w:rsidR="00F50987" w:rsidRDefault="00772F2B">
      <w:pPr>
        <w:widowControl/>
        <w:spacing w:beforeLines="50" w:before="156" w:line="360" w:lineRule="auto"/>
        <w:ind w:firstLineChars="236" w:firstLine="566"/>
        <w:jc w:val="left"/>
        <w:rPr>
          <w:rFonts w:asciiTheme="minorEastAsia" w:hAnsiTheme="minorEastAsia" w:cs="宋体"/>
          <w:b/>
          <w:kern w:val="0"/>
          <w:szCs w:val="21"/>
        </w:rPr>
      </w:pPr>
      <w:r>
        <w:rPr>
          <w:rFonts w:ascii="宋体" w:hAnsi="宋体" w:cs="宋体" w:hint="eastAsia"/>
          <w:kern w:val="0"/>
          <w:sz w:val="24"/>
        </w:rPr>
        <w:t>3)</w:t>
      </w:r>
      <w:r>
        <w:rPr>
          <w:rFonts w:ascii="宋体" w:hAnsi="宋体" w:cs="宋体" w:hint="eastAsia"/>
          <w:kern w:val="0"/>
          <w:sz w:val="24"/>
        </w:rPr>
        <w:t>温度传感器引线不得随意增减、变更。</w:t>
      </w:r>
    </w:p>
    <w:p w:rsidR="00F50987" w:rsidRDefault="00772F2B">
      <w:pPr>
        <w:widowControl/>
        <w:spacing w:beforeLines="50" w:before="156" w:line="360" w:lineRule="auto"/>
        <w:jc w:val="left"/>
        <w:rPr>
          <w:rFonts w:asciiTheme="minorEastAsia" w:hAnsiTheme="minorEastAsia" w:cs="宋体"/>
          <w:b/>
          <w:kern w:val="0"/>
          <w:sz w:val="24"/>
        </w:rPr>
      </w:pPr>
      <w:r>
        <w:rPr>
          <w:rFonts w:asciiTheme="minorEastAsia" w:hAnsiTheme="minorEastAsia" w:cs="宋体" w:hint="eastAsia"/>
          <w:b/>
          <w:kern w:val="0"/>
          <w:szCs w:val="21"/>
        </w:rPr>
        <w:t>一、</w:t>
      </w:r>
      <w:r>
        <w:rPr>
          <w:rFonts w:asciiTheme="minorEastAsia" w:hAnsiTheme="minorEastAsia" w:cs="宋体" w:hint="eastAsia"/>
          <w:b/>
          <w:kern w:val="0"/>
          <w:sz w:val="24"/>
        </w:rPr>
        <w:t>概述</w:t>
      </w:r>
    </w:p>
    <w:p w:rsidR="00F50987" w:rsidRDefault="00772F2B">
      <w:pPr>
        <w:widowControl/>
        <w:adjustRightInd w:val="0"/>
        <w:snapToGrid w:val="0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1"/>
        </w:rPr>
      </w:pPr>
      <w:r>
        <w:rPr>
          <w:rFonts w:asciiTheme="minorEastAsia" w:hAnsiTheme="minorEastAsia" w:cs="宋体" w:hint="eastAsia"/>
          <w:kern w:val="0"/>
          <w:sz w:val="24"/>
          <w:szCs w:val="21"/>
        </w:rPr>
        <w:t>TYCR</w:t>
      </w:r>
      <w:r>
        <w:rPr>
          <w:rFonts w:asciiTheme="minorEastAsia" w:hAnsiTheme="minorEastAsia" w:cs="宋体" w:hint="eastAsia"/>
          <w:kern w:val="0"/>
          <w:sz w:val="24"/>
          <w:szCs w:val="21"/>
        </w:rPr>
        <w:t>型超声波热量表，由配对温度传感器、流量传感器和计算器组成的智能型计量仪表。计算器通过处理传感器采集的温差及声波通过流体的时间差，实现对流量、热量或冷量的精确计量，并能够对供热或供冷管线的各种应用提供记录和数据传输。</w:t>
      </w:r>
    </w:p>
    <w:p w:rsidR="00F50987" w:rsidRDefault="00772F2B">
      <w:pPr>
        <w:widowControl/>
        <w:adjustRightInd w:val="0"/>
        <w:snapToGrid w:val="0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1"/>
        </w:rPr>
      </w:pPr>
      <w:r>
        <w:rPr>
          <w:rFonts w:asciiTheme="minorEastAsia" w:hAnsiTheme="minorEastAsia" w:cs="宋体" w:hint="eastAsia"/>
          <w:kern w:val="0"/>
          <w:sz w:val="24"/>
          <w:szCs w:val="21"/>
        </w:rPr>
        <w:t>适用于集中供暖、中央空调和冷热联供等能量计量收费的工程。</w:t>
      </w:r>
    </w:p>
    <w:p w:rsidR="00F50987" w:rsidRDefault="00772F2B">
      <w:pPr>
        <w:widowControl/>
        <w:adjustRightInd w:val="0"/>
        <w:snapToGrid w:val="0"/>
        <w:spacing w:beforeLines="50" w:before="156"/>
        <w:jc w:val="left"/>
        <w:rPr>
          <w:rFonts w:asciiTheme="minorEastAsia" w:hAnsiTheme="minorEastAsia" w:cs="宋体"/>
          <w:b/>
          <w:kern w:val="0"/>
          <w:sz w:val="24"/>
        </w:rPr>
      </w:pPr>
      <w:r>
        <w:rPr>
          <w:rFonts w:asciiTheme="minorEastAsia" w:hAnsiTheme="minorEastAsia" w:cs="宋体" w:hint="eastAsia"/>
          <w:b/>
          <w:kern w:val="0"/>
          <w:sz w:val="24"/>
        </w:rPr>
        <w:t>二、技术参数</w:t>
      </w:r>
    </w:p>
    <w:p w:rsidR="00F50987" w:rsidRDefault="00772F2B">
      <w:pPr>
        <w:widowControl/>
        <w:adjustRightInd w:val="0"/>
        <w:snapToGrid w:val="0"/>
        <w:spacing w:beforeLines="50" w:before="156"/>
        <w:jc w:val="left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64770</wp:posOffset>
            </wp:positionV>
            <wp:extent cx="4719320" cy="4748530"/>
            <wp:effectExtent l="0" t="0" r="508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9600" cy="47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.75pt" o:ole="">
            <v:imagedata r:id="rId11" o:title=""/>
          </v:shape>
          <o:OLEObject Type="Embed" ProgID="CaxaDraft.Document" ShapeID="_x0000_i1025" DrawAspect="Content" ObjectID="_1775022576" r:id="rId12"/>
        </w:object>
      </w: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772F2B">
      <w:pPr>
        <w:widowControl/>
        <w:adjustRightInd w:val="0"/>
        <w:snapToGrid w:val="0"/>
        <w:spacing w:beforeLines="50" w:before="156"/>
        <w:jc w:val="left"/>
      </w:pPr>
      <w:r>
        <w:object w:dxaOrig="1440" w:dyaOrig="1440">
          <v:shape id="_x0000_s1027" type="#_x0000_t75" style="position:absolute;margin-left:75.65pt;margin-top:16.35pt;width:308.4pt;height:75.25pt;z-index:251662336;mso-width-relative:page;mso-height-relative:page">
            <v:imagedata r:id="rId13" o:title="" croptop="22695f" cropbottom="22695f" cropleft="8032f" cropright="12851f"/>
          </v:shape>
          <o:OLEObject Type="Embed" ProgID="CaxaDraft.Document" ShapeID="_x0000_s1027" DrawAspect="Content" ObjectID="_1775022577" r:id="rId14"/>
        </w:object>
      </w: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p w:rsidR="00F50987" w:rsidRDefault="00F50987">
      <w:pPr>
        <w:widowControl/>
        <w:adjustRightInd w:val="0"/>
        <w:snapToGrid w:val="0"/>
        <w:spacing w:beforeLines="50" w:before="156"/>
        <w:jc w:val="left"/>
      </w:pPr>
    </w:p>
    <w:tbl>
      <w:tblPr>
        <w:tblpPr w:leftFromText="180" w:rightFromText="180" w:vertAnchor="text" w:horzAnchor="margin" w:tblpXSpec="right" w:tblpY="269"/>
        <w:tblW w:w="7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9"/>
        <w:gridCol w:w="1110"/>
        <w:gridCol w:w="1110"/>
        <w:gridCol w:w="1110"/>
        <w:gridCol w:w="1110"/>
        <w:gridCol w:w="1110"/>
      </w:tblGrid>
      <w:tr w:rsidR="00F50987">
        <w:trPr>
          <w:trHeight w:val="284"/>
        </w:trPr>
        <w:tc>
          <w:tcPr>
            <w:tcW w:w="1839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宽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W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(mm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110" w:type="dxa"/>
            <w:vAlign w:val="center"/>
          </w:tcPr>
          <w:p w:rsidR="00F50987" w:rsidRDefault="00772F2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125</w:t>
            </w:r>
          </w:p>
        </w:tc>
      </w:tr>
      <w:tr w:rsidR="00F50987">
        <w:trPr>
          <w:trHeight w:val="274"/>
        </w:trPr>
        <w:tc>
          <w:tcPr>
            <w:tcW w:w="1839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H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(mm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110" w:type="dxa"/>
            <w:vAlign w:val="center"/>
          </w:tcPr>
          <w:p w:rsidR="00F50987" w:rsidRDefault="00772F2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120</w:t>
            </w:r>
          </w:p>
        </w:tc>
      </w:tr>
      <w:tr w:rsidR="00F50987">
        <w:trPr>
          <w:trHeight w:hRule="exact" w:val="355"/>
        </w:trPr>
        <w:tc>
          <w:tcPr>
            <w:tcW w:w="1839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接管螺纹</w:t>
            </w:r>
          </w:p>
        </w:tc>
        <w:tc>
          <w:tcPr>
            <w:tcW w:w="1110" w:type="dxa"/>
            <w:vAlign w:val="center"/>
          </w:tcPr>
          <w:p w:rsidR="00F50987" w:rsidRDefault="00772F2B">
            <w:pPr>
              <w:widowControl/>
              <w:spacing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fldChar w:fldCharType="begin"/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2</m:t>
                  </m:r>
                </m:den>
              </m:f>
            </m:oMath>
            <w:r>
              <w:rPr>
                <w:rFonts w:asciiTheme="minorEastAsia" w:eastAsiaTheme="minorEastAsia" w:hAnsiTheme="minorEastAsia"/>
                <w:sz w:val="18"/>
                <w:szCs w:val="18"/>
              </w:rPr>
              <w:fldChar w:fldCharType="end"/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2</m:t>
                  </m:r>
                </m:den>
              </m:f>
            </m:oMath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fldChar w:fldCharType="begin"/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pacing w:val="20"/>
                      <w:sz w:val="18"/>
                      <w:szCs w:val="1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  <m:t>4</m:t>
                  </m:r>
                </m:den>
              </m:f>
            </m:oMath>
            <w:r>
              <w:rPr>
                <w:rFonts w:asciiTheme="minorEastAsia" w:eastAsiaTheme="minorEastAsia" w:hAnsiTheme="minorEastAsia"/>
                <w:sz w:val="18"/>
                <w:szCs w:val="18"/>
              </w:rPr>
              <w:fldChar w:fldCharType="end"/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4</m:t>
                  </m:r>
                </m:den>
              </m:f>
            </m:oMath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spacing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spacing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R1</w:t>
            </w:r>
            <m:oMath>
              <m:f>
                <m:fPr>
                  <m:ctrl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pacing w:val="20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  <m:t>4</m:t>
                  </m:r>
                </m:den>
              </m:f>
            </m:oMath>
            <w:r>
              <w:rPr>
                <w:rFonts w:asciiTheme="minorEastAsia" w:eastAsiaTheme="minorEastAsia" w:hAnsiTheme="minorEastAsia"/>
                <w:sz w:val="18"/>
                <w:szCs w:val="18"/>
              </w:rPr>
              <w:fldChar w:fldCharType="begin"/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pacing w:val="20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  <m:t>4</m:t>
                  </m:r>
                </m:den>
              </m:f>
            </m:oMath>
            <w:r>
              <w:rPr>
                <w:rFonts w:asciiTheme="minorEastAsia" w:eastAsiaTheme="minorEastAsia" w:hAnsiTheme="minorEastAsia"/>
                <w:sz w:val="18"/>
                <w:szCs w:val="18"/>
              </w:rPr>
              <w:fldChar w:fldCharType="end"/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spacing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R1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fldChar w:fldCharType="begin"/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pacing w:val="20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  <m:t>2</m:t>
                  </m:r>
                </m:den>
              </m:f>
            </m:oMath>
            <w:r>
              <w:rPr>
                <w:rFonts w:asciiTheme="minorEastAsia" w:eastAsiaTheme="minorEastAsia" w:hAnsiTheme="minorEastAsia"/>
                <w:sz w:val="18"/>
                <w:szCs w:val="18"/>
              </w:rPr>
              <w:fldChar w:fldCharType="end"/>
            </w:r>
            <m:oMath>
              <m:f>
                <m:fPr>
                  <m:ctrl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pacing w:val="20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  <m:t>2</m:t>
                  </m:r>
                </m:den>
              </m:f>
            </m:oMath>
          </w:p>
        </w:tc>
      </w:tr>
      <w:tr w:rsidR="00F50987">
        <w:trPr>
          <w:trHeight w:hRule="exact" w:val="355"/>
        </w:trPr>
        <w:tc>
          <w:tcPr>
            <w:tcW w:w="1839" w:type="dxa"/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表螺纹</w:t>
            </w:r>
          </w:p>
        </w:tc>
        <w:tc>
          <w:tcPr>
            <w:tcW w:w="1110" w:type="dxa"/>
            <w:vAlign w:val="center"/>
          </w:tcPr>
          <w:p w:rsidR="00F50987" w:rsidRDefault="00772F2B">
            <w:pPr>
              <w:widowControl/>
              <w:spacing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G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fldChar w:fldCharType="begin"/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sz w:val="18"/>
                      <w:szCs w:val="1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4</m:t>
                  </m:r>
                </m:den>
              </m:f>
            </m:oMath>
            <w:r>
              <w:rPr>
                <w:rFonts w:asciiTheme="minorEastAsia" w:eastAsiaTheme="minorEastAsia" w:hAnsiTheme="minorEastAsia"/>
                <w:sz w:val="18"/>
                <w:szCs w:val="18"/>
              </w:rPr>
              <w:fldChar w:fldCharType="end"/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4</m:t>
                  </m:r>
                </m:den>
              </m:f>
            </m:oMath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B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spacing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G1B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spacing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18"/>
                <w:szCs w:val="18"/>
              </w:rPr>
              <w:t>G1</w:t>
            </w:r>
            <m:oMath>
              <m:f>
                <m:fPr>
                  <m:ctrl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pacing w:val="20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  <m:t>4</m:t>
                  </m:r>
                </m:den>
              </m:f>
            </m:oMath>
            <w:r>
              <w:rPr>
                <w:rFonts w:asciiTheme="minorEastAsia" w:eastAsiaTheme="minorEastAsia" w:hAnsiTheme="minorEastAsia"/>
                <w:spacing w:val="20"/>
                <w:sz w:val="18"/>
                <w:szCs w:val="18"/>
              </w:rPr>
              <w:fldChar w:fldCharType="begin"/>
            </w:r>
            <w:r>
              <w:rPr>
                <w:rFonts w:asciiTheme="minorEastAsia" w:eastAsiaTheme="minorEastAsia" w:hAnsiTheme="minorEastAsia"/>
                <w:spacing w:val="20"/>
                <w:sz w:val="18"/>
                <w:szCs w:val="18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pacing w:val="20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  <m:t>4</m:t>
                  </m:r>
                </m:den>
              </m:f>
            </m:oMath>
            <w:r>
              <w:rPr>
                <w:rFonts w:asciiTheme="minorEastAsia" w:eastAsiaTheme="minorEastAsia" w:hAnsiTheme="minorEastAsia"/>
                <w:spacing w:val="20"/>
                <w:sz w:val="18"/>
                <w:szCs w:val="18"/>
              </w:rPr>
              <w:fldChar w:fldCharType="end"/>
            </w:r>
            <w:r>
              <w:rPr>
                <w:rFonts w:asciiTheme="minorEastAsia" w:eastAsiaTheme="minorEastAsia" w:hAnsiTheme="minorEastAsia" w:hint="eastAsia"/>
                <w:spacing w:val="20"/>
                <w:sz w:val="18"/>
                <w:szCs w:val="18"/>
              </w:rPr>
              <w:t>B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spacing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18"/>
                <w:szCs w:val="18"/>
              </w:rPr>
              <w:t>G1</w:t>
            </w:r>
            <m:oMath>
              <m:f>
                <m:fPr>
                  <m:ctrl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pacing w:val="20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  <m:t>2</m:t>
                  </m:r>
                </m:den>
              </m:f>
            </m:oMath>
            <w:r>
              <w:rPr>
                <w:rFonts w:asciiTheme="minorEastAsia" w:eastAsiaTheme="minorEastAsia" w:hAnsiTheme="minorEastAsia"/>
                <w:spacing w:val="20"/>
                <w:sz w:val="18"/>
                <w:szCs w:val="18"/>
              </w:rPr>
              <w:fldChar w:fldCharType="begin"/>
            </w:r>
            <w:r>
              <w:rPr>
                <w:rFonts w:asciiTheme="minorEastAsia" w:eastAsiaTheme="minorEastAsia" w:hAnsiTheme="minorEastAsia"/>
                <w:spacing w:val="20"/>
                <w:sz w:val="18"/>
                <w:szCs w:val="18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pacing w:val="20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pacing w:val="20"/>
                      <w:sz w:val="18"/>
                      <w:szCs w:val="18"/>
                    </w:rPr>
                    <m:t>2</m:t>
                  </m:r>
                </m:den>
              </m:f>
            </m:oMath>
            <w:r>
              <w:rPr>
                <w:rFonts w:asciiTheme="minorEastAsia" w:eastAsiaTheme="minorEastAsia" w:hAnsiTheme="minorEastAsia"/>
                <w:spacing w:val="20"/>
                <w:sz w:val="18"/>
                <w:szCs w:val="18"/>
              </w:rPr>
              <w:fldChar w:fldCharType="end"/>
            </w:r>
            <w:r>
              <w:rPr>
                <w:rFonts w:asciiTheme="minorEastAsia" w:eastAsiaTheme="minorEastAsia" w:hAnsiTheme="minorEastAsia" w:hint="eastAsia"/>
                <w:spacing w:val="20"/>
                <w:sz w:val="18"/>
                <w:szCs w:val="18"/>
              </w:rPr>
              <w:t>B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F50987" w:rsidRDefault="00772F2B">
            <w:pPr>
              <w:spacing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G2B</w:t>
            </w:r>
          </w:p>
        </w:tc>
      </w:tr>
    </w:tbl>
    <w:p w:rsidR="00F50987" w:rsidRDefault="00772F2B">
      <w:pPr>
        <w:widowControl/>
        <w:adjustRightInd w:val="0"/>
        <w:snapToGrid w:val="0"/>
        <w:spacing w:beforeLines="50" w:before="156"/>
        <w:jc w:val="left"/>
      </w:pPr>
      <w:r>
        <w:rPr>
          <w:rFonts w:asciiTheme="minorEastAsia" w:hAnsiTheme="minorEastAsia" w:cs="宋体" w:hint="eastAsia"/>
          <w:b/>
          <w:kern w:val="0"/>
          <w:szCs w:val="21"/>
        </w:rPr>
        <w:t>三、显示内容</w:t>
      </w:r>
    </w:p>
    <w:tbl>
      <w:tblPr>
        <w:tblpPr w:leftFromText="180" w:rightFromText="180" w:vertAnchor="text" w:horzAnchor="margin" w:tblpY="132"/>
        <w:tblW w:w="7171" w:type="dxa"/>
        <w:tblLayout w:type="fixed"/>
        <w:tblLook w:val="04A0" w:firstRow="1" w:lastRow="0" w:firstColumn="1" w:lastColumn="0" w:noHBand="0" w:noVBand="1"/>
      </w:tblPr>
      <w:tblGrid>
        <w:gridCol w:w="1348"/>
        <w:gridCol w:w="2204"/>
        <w:gridCol w:w="3619"/>
      </w:tblGrid>
      <w:tr w:rsidR="00F50987">
        <w:trPr>
          <w:trHeight w:val="208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显示次序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数据名称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显示图案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常态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休眠状态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无显示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累积热量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  kW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/GJ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累积冷量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  kW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/GJ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累积流量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X  m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累积工作时间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XXXXX  h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入口温度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 xml:space="preserve">XX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出口温度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 xml:space="preserve">XX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温差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XX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℃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当前日期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 XX XX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瞬时流量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 xml:space="preserve">X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XX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XX m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/h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表地址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XXXXXXXX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lastRenderedPageBreak/>
              <w:t>11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当前电压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X. XX  V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软件版本</w:t>
            </w: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E  XXXXX.X</w:t>
            </w:r>
          </w:p>
        </w:tc>
      </w:tr>
      <w:tr w:rsidR="00F50987">
        <w:trPr>
          <w:trHeight w:val="208"/>
        </w:trPr>
        <w:tc>
          <w:tcPr>
            <w:tcW w:w="7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在热量、冷量显示下长按按钮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秒进入历史存储状态（再按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秒退出）：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XX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（年）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-XX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（月）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累计热量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  kW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·</w:t>
            </w:r>
            <w:r>
              <w:rPr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/GJ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累积流量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．</w:t>
            </w:r>
            <w:r>
              <w:rPr>
                <w:color w:val="000000"/>
                <w:kern w:val="0"/>
                <w:sz w:val="18"/>
                <w:szCs w:val="18"/>
              </w:rPr>
              <w:t>X  m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</w:p>
        </w:tc>
      </w:tr>
      <w:tr w:rsidR="00F50987">
        <w:trPr>
          <w:trHeight w:val="208"/>
        </w:trPr>
        <w:tc>
          <w:tcPr>
            <w:tcW w:w="7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在流量、工作时间显示下长按按钮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秒进入检定状态（再按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秒退出）：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热量检定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冷量检定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流量检定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瞬时流量检定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温度检定</w:t>
            </w:r>
          </w:p>
        </w:tc>
      </w:tr>
      <w:tr w:rsidR="00F50987">
        <w:trPr>
          <w:trHeight w:val="208"/>
        </w:trPr>
        <w:tc>
          <w:tcPr>
            <w:tcW w:w="7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在温度显示下长按按钮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秒进入查询状态（再按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秒退出）：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当前时间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模拟检定热量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…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设置参数</w:t>
            </w:r>
          </w:p>
        </w:tc>
      </w:tr>
      <w:tr w:rsidR="00F50987">
        <w:trPr>
          <w:trHeight w:val="208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信号状态</w:t>
            </w:r>
          </w:p>
        </w:tc>
      </w:tr>
      <w:tr w:rsidR="00F50987">
        <w:trPr>
          <w:trHeight w:val="204"/>
        </w:trPr>
        <w:tc>
          <w:tcPr>
            <w:tcW w:w="7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分钟无任何动作后进入休眠状态，无任何显示</w:t>
            </w:r>
          </w:p>
        </w:tc>
      </w:tr>
    </w:tbl>
    <w:p w:rsidR="00F50987" w:rsidRDefault="00772F2B">
      <w:pPr>
        <w:widowControl/>
        <w:spacing w:beforeLines="50" w:before="156"/>
        <w:jc w:val="left"/>
        <w:rPr>
          <w:rFonts w:asciiTheme="minorEastAsia" w:hAnsiTheme="minorEastAsia" w:cs="宋体"/>
          <w:b/>
          <w:kern w:val="0"/>
          <w:sz w:val="24"/>
        </w:rPr>
      </w:pPr>
      <w:r>
        <w:rPr>
          <w:rFonts w:asciiTheme="minorEastAsia" w:hAnsiTheme="minorEastAsia" w:cs="宋体" w:hint="eastAsia"/>
          <w:b/>
          <w:kern w:val="0"/>
          <w:sz w:val="24"/>
        </w:rPr>
        <w:t>四、外形尺寸</w:t>
      </w:r>
    </w:p>
    <w:tbl>
      <w:tblPr>
        <w:tblpPr w:leftFromText="180" w:rightFromText="180" w:vertAnchor="text" w:horzAnchor="margin" w:tblpY="182"/>
        <w:tblW w:w="72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4"/>
        <w:gridCol w:w="1082"/>
        <w:gridCol w:w="1082"/>
        <w:gridCol w:w="1082"/>
        <w:gridCol w:w="1082"/>
        <w:gridCol w:w="1082"/>
      </w:tblGrid>
      <w:tr w:rsidR="00F50987">
        <w:trPr>
          <w:trHeight w:val="369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公称口径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(mm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DN20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DN25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DN32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DN40</w:t>
            </w:r>
          </w:p>
        </w:tc>
      </w:tr>
      <w:tr w:rsidR="00F50987">
        <w:trPr>
          <w:trHeight w:val="356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长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L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(mm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987" w:rsidRDefault="00772F2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200</w:t>
            </w:r>
          </w:p>
        </w:tc>
      </w:tr>
      <w:tr w:rsidR="00F50987">
        <w:trPr>
          <w:trHeight w:val="369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含接管长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L1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(mm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987" w:rsidRDefault="00772F2B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281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330</w:t>
            </w:r>
          </w:p>
        </w:tc>
      </w:tr>
    </w:tbl>
    <w:p w:rsidR="00F50987" w:rsidRDefault="00F50987">
      <w:pPr>
        <w:widowControl/>
        <w:spacing w:line="240" w:lineRule="atLeast"/>
        <w:jc w:val="left"/>
        <w:rPr>
          <w:rFonts w:asciiTheme="minorEastAsia" w:hAnsiTheme="minorEastAsia" w:cs="宋体"/>
          <w:b/>
          <w:kern w:val="0"/>
          <w:sz w:val="24"/>
        </w:rPr>
      </w:pPr>
    </w:p>
    <w:tbl>
      <w:tblPr>
        <w:tblpPr w:leftFromText="180" w:rightFromText="180" w:vertAnchor="text" w:horzAnchor="margin" w:tblpXSpec="right" w:tblpY="-5"/>
        <w:tblW w:w="738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63"/>
        <w:gridCol w:w="1063"/>
        <w:gridCol w:w="1064"/>
        <w:gridCol w:w="1274"/>
        <w:gridCol w:w="1433"/>
        <w:gridCol w:w="1489"/>
      </w:tblGrid>
      <w:tr w:rsidR="00F50987">
        <w:trPr>
          <w:trHeight w:val="558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ind w:leftChars="-54" w:left="-111" w:hanging="2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公称</w:t>
            </w:r>
          </w:p>
          <w:p w:rsidR="00F50987" w:rsidRDefault="00772F2B">
            <w:pPr>
              <w:widowControl/>
              <w:ind w:leftChars="-53" w:left="-109" w:hanging="2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口径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(mm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长度</w:t>
            </w:r>
          </w:p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L(mm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宽度</w:t>
            </w:r>
          </w:p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B(mm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连接法兰直径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(mm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螺纹孔中心直径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(mm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连接螺纹</w:t>
            </w:r>
          </w:p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n--M</w:t>
            </w:r>
          </w:p>
        </w:tc>
      </w:tr>
      <w:tr w:rsidR="00F50987">
        <w:trPr>
          <w:trHeight w:val="1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ind w:leftChars="-53" w:left="-109" w:hanging="2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DN50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M16</w:t>
            </w:r>
          </w:p>
        </w:tc>
      </w:tr>
      <w:tr w:rsidR="00F50987">
        <w:trPr>
          <w:trHeight w:val="1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ind w:leftChars="-53" w:left="-109" w:hanging="2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DN65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M16</w:t>
            </w:r>
          </w:p>
        </w:tc>
      </w:tr>
      <w:tr w:rsidR="00F50987">
        <w:trPr>
          <w:trHeight w:val="1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ind w:leftChars="-53" w:left="-109" w:hanging="2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DN80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987" w:rsidRDefault="00772F2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M16</w:t>
            </w:r>
          </w:p>
        </w:tc>
      </w:tr>
      <w:tr w:rsidR="00F50987">
        <w:trPr>
          <w:trHeight w:val="1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ind w:leftChars="-53" w:left="-109" w:hanging="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DN100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M16</w:t>
            </w:r>
          </w:p>
        </w:tc>
      </w:tr>
      <w:tr w:rsidR="00F50987">
        <w:trPr>
          <w:trHeight w:val="1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ind w:leftChars="-53" w:left="-109" w:hanging="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DN125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M16</w:t>
            </w:r>
          </w:p>
        </w:tc>
      </w:tr>
      <w:tr w:rsidR="00F50987">
        <w:trPr>
          <w:trHeight w:val="1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ind w:leftChars="-53" w:left="-109" w:hanging="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DN150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285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285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M20</w:t>
            </w:r>
          </w:p>
        </w:tc>
      </w:tr>
      <w:tr w:rsidR="00F50987">
        <w:trPr>
          <w:trHeight w:val="174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ind w:leftChars="-53" w:left="-109" w:hanging="2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DN200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340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340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295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987" w:rsidRDefault="00772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M20</w:t>
            </w:r>
          </w:p>
        </w:tc>
      </w:tr>
    </w:tbl>
    <w:p w:rsidR="00F50987" w:rsidRDefault="00772F2B">
      <w:pPr>
        <w:widowControl/>
        <w:jc w:val="left"/>
        <w:rPr>
          <w:rFonts w:asciiTheme="minorEastAsia" w:hAnsiTheme="minorEastAsia" w:cs="宋体"/>
          <w:b/>
          <w:kern w:val="0"/>
          <w:sz w:val="24"/>
        </w:rPr>
      </w:pPr>
      <w:r>
        <w:rPr>
          <w:rFonts w:ascii="宋体" w:hAnsi="宋体" w:cs="宋体"/>
          <w:noProof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597535</wp:posOffset>
            </wp:positionH>
            <wp:positionV relativeFrom="paragraph">
              <wp:posOffset>201930</wp:posOffset>
            </wp:positionV>
            <wp:extent cx="3095625" cy="1422400"/>
            <wp:effectExtent l="0" t="0" r="9525" b="635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5" t="23861" r="1316" b="21053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4224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="宋体" w:hint="eastAsia"/>
          <w:b/>
          <w:kern w:val="0"/>
          <w:sz w:val="24"/>
        </w:rPr>
        <w:t>五、安装示意图</w:t>
      </w:r>
    </w:p>
    <w:p w:rsidR="00F50987" w:rsidRDefault="00F50987">
      <w:pPr>
        <w:widowControl/>
        <w:spacing w:beforeLines="50" w:before="156"/>
        <w:jc w:val="left"/>
        <w:rPr>
          <w:rFonts w:ascii="宋体" w:hAnsi="宋体" w:cs="宋体"/>
          <w:kern w:val="0"/>
          <w:szCs w:val="21"/>
        </w:rPr>
      </w:pPr>
    </w:p>
    <w:p w:rsidR="00F50987" w:rsidRDefault="00F50987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772F2B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  <w:r>
        <w:rPr>
          <w:rFonts w:asciiTheme="minorEastAsia" w:hAnsiTheme="minorEastAsia" w:cs="宋体" w:hint="eastAsia"/>
          <w:b/>
          <w:kern w:val="0"/>
          <w:szCs w:val="21"/>
        </w:rPr>
        <w:t>小口径</w:t>
      </w:r>
    </w:p>
    <w:p w:rsidR="00F50987" w:rsidRDefault="00F50987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772F2B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  <w:r>
        <w:rPr>
          <w:rFonts w:asciiTheme="minorEastAsia" w:hAnsiTheme="minorEastAsia" w:cs="宋体"/>
          <w:b/>
          <w:noProof/>
          <w:kern w:val="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172085</wp:posOffset>
            </wp:positionV>
            <wp:extent cx="3448050" cy="163893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7" t="22014" r="2315" b="21559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6389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0987" w:rsidRDefault="00F50987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772F2B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  <w:r>
        <w:rPr>
          <w:rFonts w:asciiTheme="minorEastAsia" w:hAnsiTheme="minorEastAsia" w:cs="宋体" w:hint="eastAsia"/>
          <w:b/>
          <w:kern w:val="0"/>
          <w:szCs w:val="21"/>
        </w:rPr>
        <w:t>大口径</w:t>
      </w:r>
    </w:p>
    <w:p w:rsidR="00F50987" w:rsidRDefault="00F50987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widowControl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F50987" w:rsidRDefault="00F50987">
      <w:pPr>
        <w:rPr>
          <w:rFonts w:ascii="黑体" w:eastAsia="黑体" w:hAnsi="黑体" w:cs="宋体"/>
          <w:b/>
          <w:kern w:val="0"/>
          <w:sz w:val="24"/>
        </w:rPr>
      </w:pPr>
    </w:p>
    <w:sectPr w:rsidR="00F50987">
      <w:footerReference w:type="default" r:id="rId17"/>
      <w:pgSz w:w="16839" w:h="11907" w:orient="landscape"/>
      <w:pgMar w:top="737" w:right="567" w:bottom="737" w:left="567" w:header="397" w:footer="397" w:gutter="0"/>
      <w:pgNumType w:start="1"/>
      <w:cols w:num="2" w:space="84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F2B" w:rsidRDefault="00772F2B">
      <w:r>
        <w:separator/>
      </w:r>
    </w:p>
  </w:endnote>
  <w:endnote w:type="continuationSeparator" w:id="0">
    <w:p w:rsidR="00772F2B" w:rsidRDefault="00772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987" w:rsidRDefault="00772F2B">
    <w:pPr>
      <w:pStyle w:val="a5"/>
    </w:pPr>
    <w: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987" w:rsidRDefault="00772F2B">
    <w:pPr>
      <w:pStyle w:val="a5"/>
    </w:pP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F251CA">
      <w:rPr>
        <w:noProof/>
      </w:rPr>
      <w:instrText>1</w:instrText>
    </w:r>
    <w:r>
      <w:fldChar w:fldCharType="end"/>
    </w:r>
    <w:r>
      <w:instrText>*4/</w:instrText>
    </w:r>
    <w:r>
      <w:fldChar w:fldCharType="begin"/>
    </w:r>
    <w:r>
      <w:instrText xml:space="preserve"> page </w:instrText>
    </w:r>
    <w:r>
      <w:fldChar w:fldCharType="separate"/>
    </w:r>
    <w:r w:rsidR="00F251CA">
      <w:rPr>
        <w:noProof/>
      </w:rPr>
      <w:instrText>1</w:instrText>
    </w:r>
    <w:r>
      <w:fldChar w:fldCharType="end"/>
    </w:r>
    <w:r>
      <w:instrText>/</w:instrText>
    </w:r>
    <w:r>
      <w:fldChar w:fldCharType="begin"/>
    </w:r>
    <w:r>
      <w:instrText xml:space="preserve"> page </w:instrText>
    </w:r>
    <w:r>
      <w:fldChar w:fldCharType="separate"/>
    </w:r>
    <w:r w:rsidR="00F251CA">
      <w:rPr>
        <w:noProof/>
      </w:rPr>
      <w:instrText>1</w:instrText>
    </w:r>
    <w:r>
      <w:fldChar w:fldCharType="end"/>
    </w:r>
    <w:r>
      <w:fldChar w:fldCharType="separate"/>
    </w:r>
    <w:r w:rsidR="00F251CA">
      <w:rPr>
        <w:noProof/>
      </w:rPr>
      <w:t>4</w:t>
    </w:r>
    <w:r>
      <w:fldChar w:fldCharType="end"/>
    </w:r>
    <w:r>
      <w:fldChar w:fldCharType="begin"/>
    </w:r>
    <w:r>
      <w:instrText>=</w:instrText>
    </w:r>
    <w:r>
      <w:fldChar w:fldCharType="begin"/>
    </w:r>
    <w:r>
      <w:instrText xml:space="preserve"> page </w:instrText>
    </w:r>
    <w:r>
      <w:fldChar w:fldCharType="separate"/>
    </w:r>
    <w:r w:rsidR="00F251CA">
      <w:rPr>
        <w:noProof/>
      </w:rPr>
      <w:instrText>1</w:instrText>
    </w:r>
    <w:r>
      <w:fldChar w:fldCharType="end"/>
    </w:r>
    <w:r>
      <w:instrText>*2-1</w:instrText>
    </w:r>
    <w:r>
      <w:fldChar w:fldCharType="separate"/>
    </w:r>
    <w:r w:rsidR="00F251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F2B" w:rsidRDefault="00772F2B">
      <w:r>
        <w:separator/>
      </w:r>
    </w:p>
  </w:footnote>
  <w:footnote w:type="continuationSeparator" w:id="0">
    <w:p w:rsidR="00772F2B" w:rsidRDefault="00772F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0F"/>
    <w:rsid w:val="00007649"/>
    <w:rsid w:val="000109FD"/>
    <w:rsid w:val="00014E07"/>
    <w:rsid w:val="00014F40"/>
    <w:rsid w:val="0003305F"/>
    <w:rsid w:val="000372B1"/>
    <w:rsid w:val="0004673A"/>
    <w:rsid w:val="00055F31"/>
    <w:rsid w:val="000731DC"/>
    <w:rsid w:val="00090B95"/>
    <w:rsid w:val="00091E61"/>
    <w:rsid w:val="00097404"/>
    <w:rsid w:val="000B7834"/>
    <w:rsid w:val="000C1232"/>
    <w:rsid w:val="000C157D"/>
    <w:rsid w:val="000E6D96"/>
    <w:rsid w:val="0011100F"/>
    <w:rsid w:val="00113D88"/>
    <w:rsid w:val="0011504D"/>
    <w:rsid w:val="00117649"/>
    <w:rsid w:val="0013027C"/>
    <w:rsid w:val="00150C70"/>
    <w:rsid w:val="001641A9"/>
    <w:rsid w:val="00166897"/>
    <w:rsid w:val="001710EB"/>
    <w:rsid w:val="0017207A"/>
    <w:rsid w:val="00173341"/>
    <w:rsid w:val="00174AAD"/>
    <w:rsid w:val="00183EB0"/>
    <w:rsid w:val="001A418F"/>
    <w:rsid w:val="001A681D"/>
    <w:rsid w:val="001F4A80"/>
    <w:rsid w:val="001F5C42"/>
    <w:rsid w:val="00213719"/>
    <w:rsid w:val="002150B4"/>
    <w:rsid w:val="0023408E"/>
    <w:rsid w:val="00234554"/>
    <w:rsid w:val="002347DF"/>
    <w:rsid w:val="00247E5C"/>
    <w:rsid w:val="002824C6"/>
    <w:rsid w:val="00283117"/>
    <w:rsid w:val="002832BE"/>
    <w:rsid w:val="00291D99"/>
    <w:rsid w:val="00291F64"/>
    <w:rsid w:val="00294B3A"/>
    <w:rsid w:val="00297608"/>
    <w:rsid w:val="002B2CF7"/>
    <w:rsid w:val="002B4DB4"/>
    <w:rsid w:val="002B5F0D"/>
    <w:rsid w:val="002C7C42"/>
    <w:rsid w:val="002D0762"/>
    <w:rsid w:val="002D28EA"/>
    <w:rsid w:val="002E3805"/>
    <w:rsid w:val="002E7875"/>
    <w:rsid w:val="002F3C0E"/>
    <w:rsid w:val="002F4F8C"/>
    <w:rsid w:val="002F5641"/>
    <w:rsid w:val="00303ED6"/>
    <w:rsid w:val="003154B1"/>
    <w:rsid w:val="00337EBD"/>
    <w:rsid w:val="00345EB1"/>
    <w:rsid w:val="00350CD5"/>
    <w:rsid w:val="0036310B"/>
    <w:rsid w:val="003653BC"/>
    <w:rsid w:val="00367677"/>
    <w:rsid w:val="00370E5C"/>
    <w:rsid w:val="003757FD"/>
    <w:rsid w:val="00382948"/>
    <w:rsid w:val="00382E43"/>
    <w:rsid w:val="00383444"/>
    <w:rsid w:val="00387F61"/>
    <w:rsid w:val="003922E6"/>
    <w:rsid w:val="003A1AFE"/>
    <w:rsid w:val="003A33E5"/>
    <w:rsid w:val="003A5EE9"/>
    <w:rsid w:val="003C48D3"/>
    <w:rsid w:val="003D47C7"/>
    <w:rsid w:val="003E1E9D"/>
    <w:rsid w:val="00402F04"/>
    <w:rsid w:val="0040505F"/>
    <w:rsid w:val="00420AEA"/>
    <w:rsid w:val="004279D9"/>
    <w:rsid w:val="00452C9E"/>
    <w:rsid w:val="00454E54"/>
    <w:rsid w:val="004646CD"/>
    <w:rsid w:val="004728DF"/>
    <w:rsid w:val="00490BA0"/>
    <w:rsid w:val="0049105A"/>
    <w:rsid w:val="004918D2"/>
    <w:rsid w:val="004A110A"/>
    <w:rsid w:val="004A1FA1"/>
    <w:rsid w:val="004B309E"/>
    <w:rsid w:val="004B4BEF"/>
    <w:rsid w:val="004C395F"/>
    <w:rsid w:val="004D1495"/>
    <w:rsid w:val="004D17A8"/>
    <w:rsid w:val="004D2A4B"/>
    <w:rsid w:val="004D47DC"/>
    <w:rsid w:val="004E628E"/>
    <w:rsid w:val="00502607"/>
    <w:rsid w:val="00511C48"/>
    <w:rsid w:val="00517443"/>
    <w:rsid w:val="00523700"/>
    <w:rsid w:val="0053220D"/>
    <w:rsid w:val="005378C0"/>
    <w:rsid w:val="00543F74"/>
    <w:rsid w:val="00581426"/>
    <w:rsid w:val="005904FA"/>
    <w:rsid w:val="005A5FC1"/>
    <w:rsid w:val="005B1471"/>
    <w:rsid w:val="005B19F3"/>
    <w:rsid w:val="005B281C"/>
    <w:rsid w:val="005B6738"/>
    <w:rsid w:val="005C2B16"/>
    <w:rsid w:val="005C5F6A"/>
    <w:rsid w:val="005E05FC"/>
    <w:rsid w:val="005E2418"/>
    <w:rsid w:val="0060303D"/>
    <w:rsid w:val="006149D5"/>
    <w:rsid w:val="00621C5E"/>
    <w:rsid w:val="0062212E"/>
    <w:rsid w:val="00623EC6"/>
    <w:rsid w:val="00630BFD"/>
    <w:rsid w:val="00630F88"/>
    <w:rsid w:val="00637618"/>
    <w:rsid w:val="00642FB3"/>
    <w:rsid w:val="00655C3E"/>
    <w:rsid w:val="00663027"/>
    <w:rsid w:val="00665E53"/>
    <w:rsid w:val="00666A2B"/>
    <w:rsid w:val="0067134D"/>
    <w:rsid w:val="006C5DE9"/>
    <w:rsid w:val="006C736C"/>
    <w:rsid w:val="006E3456"/>
    <w:rsid w:val="006F10C5"/>
    <w:rsid w:val="006F476B"/>
    <w:rsid w:val="006F6A41"/>
    <w:rsid w:val="0070208E"/>
    <w:rsid w:val="007047F6"/>
    <w:rsid w:val="00704D67"/>
    <w:rsid w:val="00707C9A"/>
    <w:rsid w:val="0071474B"/>
    <w:rsid w:val="00720F60"/>
    <w:rsid w:val="0072425E"/>
    <w:rsid w:val="00727152"/>
    <w:rsid w:val="00732098"/>
    <w:rsid w:val="00740943"/>
    <w:rsid w:val="00754EE9"/>
    <w:rsid w:val="00757A7F"/>
    <w:rsid w:val="0076069D"/>
    <w:rsid w:val="00762BCB"/>
    <w:rsid w:val="007712BC"/>
    <w:rsid w:val="00772F2B"/>
    <w:rsid w:val="00774047"/>
    <w:rsid w:val="00781B42"/>
    <w:rsid w:val="00781DF7"/>
    <w:rsid w:val="007838C4"/>
    <w:rsid w:val="00783F5E"/>
    <w:rsid w:val="007916C3"/>
    <w:rsid w:val="007B2085"/>
    <w:rsid w:val="007B4587"/>
    <w:rsid w:val="007B72A7"/>
    <w:rsid w:val="007C2EAD"/>
    <w:rsid w:val="007D3FB9"/>
    <w:rsid w:val="007D5669"/>
    <w:rsid w:val="007E72F6"/>
    <w:rsid w:val="007F1062"/>
    <w:rsid w:val="007F3456"/>
    <w:rsid w:val="007F3853"/>
    <w:rsid w:val="0080435C"/>
    <w:rsid w:val="00823B80"/>
    <w:rsid w:val="008264A5"/>
    <w:rsid w:val="008455FE"/>
    <w:rsid w:val="00852CE3"/>
    <w:rsid w:val="00856D67"/>
    <w:rsid w:val="00860E04"/>
    <w:rsid w:val="00867E8F"/>
    <w:rsid w:val="008A5F08"/>
    <w:rsid w:val="008D0540"/>
    <w:rsid w:val="008D73AF"/>
    <w:rsid w:val="008E12A8"/>
    <w:rsid w:val="008E1A82"/>
    <w:rsid w:val="008E5A0D"/>
    <w:rsid w:val="008F5FF5"/>
    <w:rsid w:val="00902F10"/>
    <w:rsid w:val="00907110"/>
    <w:rsid w:val="0091123C"/>
    <w:rsid w:val="00922594"/>
    <w:rsid w:val="00926A43"/>
    <w:rsid w:val="00935CBB"/>
    <w:rsid w:val="0095384B"/>
    <w:rsid w:val="00981113"/>
    <w:rsid w:val="00983A0F"/>
    <w:rsid w:val="00996E3B"/>
    <w:rsid w:val="009A5F31"/>
    <w:rsid w:val="009A6C0A"/>
    <w:rsid w:val="009B1052"/>
    <w:rsid w:val="009B6C88"/>
    <w:rsid w:val="009C3452"/>
    <w:rsid w:val="009C4DF3"/>
    <w:rsid w:val="009C67E6"/>
    <w:rsid w:val="009C69A6"/>
    <w:rsid w:val="009E3B80"/>
    <w:rsid w:val="009F01A8"/>
    <w:rsid w:val="00A076FA"/>
    <w:rsid w:val="00A17D87"/>
    <w:rsid w:val="00A3108E"/>
    <w:rsid w:val="00A46F28"/>
    <w:rsid w:val="00A57698"/>
    <w:rsid w:val="00A81D9F"/>
    <w:rsid w:val="00A8297C"/>
    <w:rsid w:val="00AA0094"/>
    <w:rsid w:val="00AA5A0D"/>
    <w:rsid w:val="00AB237B"/>
    <w:rsid w:val="00AB3DCB"/>
    <w:rsid w:val="00AC3428"/>
    <w:rsid w:val="00AD3CA7"/>
    <w:rsid w:val="00AD6E7D"/>
    <w:rsid w:val="00AE23BC"/>
    <w:rsid w:val="00AE30DB"/>
    <w:rsid w:val="00AE74F1"/>
    <w:rsid w:val="00AF0362"/>
    <w:rsid w:val="00AF55F6"/>
    <w:rsid w:val="00AF637F"/>
    <w:rsid w:val="00B129CD"/>
    <w:rsid w:val="00B144AB"/>
    <w:rsid w:val="00B20FC4"/>
    <w:rsid w:val="00B37FEC"/>
    <w:rsid w:val="00B4622A"/>
    <w:rsid w:val="00B55248"/>
    <w:rsid w:val="00B5538A"/>
    <w:rsid w:val="00B57737"/>
    <w:rsid w:val="00B661A1"/>
    <w:rsid w:val="00BA028B"/>
    <w:rsid w:val="00BC378F"/>
    <w:rsid w:val="00BE12F5"/>
    <w:rsid w:val="00BE2B5B"/>
    <w:rsid w:val="00BE43C5"/>
    <w:rsid w:val="00BF31AA"/>
    <w:rsid w:val="00C00221"/>
    <w:rsid w:val="00C04025"/>
    <w:rsid w:val="00C143B5"/>
    <w:rsid w:val="00C2309B"/>
    <w:rsid w:val="00C2711A"/>
    <w:rsid w:val="00C32D09"/>
    <w:rsid w:val="00C44B87"/>
    <w:rsid w:val="00C52132"/>
    <w:rsid w:val="00C53128"/>
    <w:rsid w:val="00C56498"/>
    <w:rsid w:val="00C65363"/>
    <w:rsid w:val="00C65C98"/>
    <w:rsid w:val="00C92D66"/>
    <w:rsid w:val="00C936FD"/>
    <w:rsid w:val="00CC74C5"/>
    <w:rsid w:val="00CD5D6E"/>
    <w:rsid w:val="00CF28E9"/>
    <w:rsid w:val="00CF400D"/>
    <w:rsid w:val="00CF708E"/>
    <w:rsid w:val="00D02223"/>
    <w:rsid w:val="00D02E43"/>
    <w:rsid w:val="00D168C4"/>
    <w:rsid w:val="00D16BF2"/>
    <w:rsid w:val="00D266AD"/>
    <w:rsid w:val="00D31C81"/>
    <w:rsid w:val="00D41713"/>
    <w:rsid w:val="00D57A17"/>
    <w:rsid w:val="00D612DD"/>
    <w:rsid w:val="00D63707"/>
    <w:rsid w:val="00D6700E"/>
    <w:rsid w:val="00D679B8"/>
    <w:rsid w:val="00D755F9"/>
    <w:rsid w:val="00DA32F9"/>
    <w:rsid w:val="00DB2AB1"/>
    <w:rsid w:val="00DB796A"/>
    <w:rsid w:val="00DD02B9"/>
    <w:rsid w:val="00DD13EC"/>
    <w:rsid w:val="00DD3B56"/>
    <w:rsid w:val="00DD447E"/>
    <w:rsid w:val="00DE16C9"/>
    <w:rsid w:val="00DE179D"/>
    <w:rsid w:val="00DE48C8"/>
    <w:rsid w:val="00DE5229"/>
    <w:rsid w:val="00DF3C20"/>
    <w:rsid w:val="00DF4856"/>
    <w:rsid w:val="00DF714D"/>
    <w:rsid w:val="00E034A8"/>
    <w:rsid w:val="00E05B79"/>
    <w:rsid w:val="00E11D90"/>
    <w:rsid w:val="00E34F49"/>
    <w:rsid w:val="00E43C02"/>
    <w:rsid w:val="00E44C15"/>
    <w:rsid w:val="00E467CF"/>
    <w:rsid w:val="00E54599"/>
    <w:rsid w:val="00E573FE"/>
    <w:rsid w:val="00E72CC7"/>
    <w:rsid w:val="00E77F04"/>
    <w:rsid w:val="00E8446B"/>
    <w:rsid w:val="00E85E2F"/>
    <w:rsid w:val="00EB3889"/>
    <w:rsid w:val="00EB5A1B"/>
    <w:rsid w:val="00EC7C3B"/>
    <w:rsid w:val="00EE42DE"/>
    <w:rsid w:val="00EE71A8"/>
    <w:rsid w:val="00EF12E1"/>
    <w:rsid w:val="00F223A1"/>
    <w:rsid w:val="00F2401D"/>
    <w:rsid w:val="00F24394"/>
    <w:rsid w:val="00F251CA"/>
    <w:rsid w:val="00F263D6"/>
    <w:rsid w:val="00F3692D"/>
    <w:rsid w:val="00F50987"/>
    <w:rsid w:val="00F509FD"/>
    <w:rsid w:val="00F5303C"/>
    <w:rsid w:val="00F561D4"/>
    <w:rsid w:val="00F606B1"/>
    <w:rsid w:val="00F60792"/>
    <w:rsid w:val="00F6656D"/>
    <w:rsid w:val="00F815D2"/>
    <w:rsid w:val="00F83F09"/>
    <w:rsid w:val="00F86AB6"/>
    <w:rsid w:val="00F90973"/>
    <w:rsid w:val="00F95211"/>
    <w:rsid w:val="00FB04E5"/>
    <w:rsid w:val="00FB5C20"/>
    <w:rsid w:val="00FC27AE"/>
    <w:rsid w:val="00FC4033"/>
    <w:rsid w:val="00FC7DC1"/>
    <w:rsid w:val="00FD1169"/>
    <w:rsid w:val="00FD61E4"/>
    <w:rsid w:val="00FF3808"/>
    <w:rsid w:val="3CDE79FE"/>
    <w:rsid w:val="469815BE"/>
    <w:rsid w:val="47865850"/>
    <w:rsid w:val="7E7B0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  <w15:docId w15:val="{D64A3891-C058-46A3-8FAB-AE6A4231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14BF9E-9C02-4E9A-A267-09BE39F5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朱曙敏</dc:creator>
  <cp:lastModifiedBy>Administrator</cp:lastModifiedBy>
  <cp:revision>2</cp:revision>
  <cp:lastPrinted>2016-07-28T08:05:00Z</cp:lastPrinted>
  <dcterms:created xsi:type="dcterms:W3CDTF">2024-04-19T01:03:00Z</dcterms:created>
  <dcterms:modified xsi:type="dcterms:W3CDTF">2024-04-19T01:03:00Z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C170EF36C9C34947A9497E2D91C2DAE7</vt:lpwstr>
  </property>
</Properties>
</file>